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rPr>
          <w:rFonts w:ascii="华文宋体" w:hAnsi="华文宋体" w:eastAsia="华文宋体" w:cs="华文宋体"/>
          <w:bCs/>
          <w:color w:val="auto"/>
          <w:sz w:val="36"/>
          <w:szCs w:val="36"/>
        </w:rPr>
      </w:pPr>
      <w:r>
        <w:rPr>
          <w:rFonts w:hint="eastAsia" w:ascii="华文宋体" w:hAnsi="华文宋体" w:eastAsia="华文宋体" w:cs="华文宋体"/>
          <w:bCs/>
          <w:color w:val="auto"/>
          <w:sz w:val="36"/>
          <w:szCs w:val="36"/>
        </w:rPr>
        <w:t>第四届（2023-2024学年）</w:t>
      </w:r>
    </w:p>
    <w:p>
      <w:pPr>
        <w:pStyle w:val="12"/>
        <w:rPr>
          <w:rFonts w:hint="eastAsia" w:ascii="华文宋体" w:hAnsi="华文宋体" w:eastAsia="华文宋体" w:cs="华文宋体"/>
          <w:bCs/>
          <w:color w:val="auto"/>
          <w:sz w:val="36"/>
          <w:szCs w:val="36"/>
        </w:rPr>
      </w:pPr>
      <w:r>
        <w:rPr>
          <w:rFonts w:hint="eastAsia" w:ascii="华文宋体" w:hAnsi="华文宋体" w:eastAsia="华文宋体" w:cs="华文宋体"/>
          <w:bCs/>
          <w:color w:val="auto"/>
          <w:sz w:val="36"/>
          <w:szCs w:val="36"/>
        </w:rPr>
        <w:t>全国青少年科技教育成果展示大赛</w:t>
      </w:r>
    </w:p>
    <w:p>
      <w:pPr>
        <w:pStyle w:val="12"/>
        <w:rPr>
          <w:rFonts w:hint="eastAsia" w:ascii="华文中宋" w:hAnsi="华文中宋" w:eastAsia="华文中宋" w:cs="华文中宋"/>
          <w:bCs/>
          <w:color w:val="auto"/>
          <w:sz w:val="32"/>
          <w:szCs w:val="32"/>
        </w:rPr>
      </w:pPr>
    </w:p>
    <w:p>
      <w:pPr>
        <w:pStyle w:val="12"/>
        <w:rPr>
          <w:rFonts w:hint="eastAsia" w:ascii="华文中宋" w:hAnsi="华文中宋" w:eastAsia="华文中宋" w:cs="华文中宋"/>
          <w:bCs/>
          <w:color w:val="auto"/>
          <w:lang w:val="en-US" w:eastAsia="zh-CN"/>
        </w:rPr>
      </w:pPr>
      <w:r>
        <w:rPr>
          <w:rFonts w:hint="eastAsia" w:ascii="华文中宋" w:hAnsi="华文中宋" w:eastAsia="华文中宋" w:cs="华文中宋"/>
          <w:bCs/>
          <w:color w:val="auto"/>
          <w:lang w:val="en-US" w:eastAsia="zh-CN"/>
        </w:rPr>
        <w:t>科技创意动画挑战赛参赛通知</w:t>
      </w:r>
    </w:p>
    <w:p>
      <w:pPr>
        <w:pStyle w:val="12"/>
        <w:rPr>
          <w:rFonts w:hint="eastAsia" w:ascii="华文中宋" w:hAnsi="华文中宋" w:eastAsia="华文中宋" w:cs="华文中宋"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val="en-US" w:eastAsia="zh-CN" w:bidi="ar"/>
        </w:rPr>
        <w:t>一、</w:t>
      </w:r>
      <w:r>
        <w:rPr>
          <w:rFonts w:ascii="仿宋" w:hAnsi="仿宋" w:eastAsia="仿宋" w:cs="仿宋"/>
          <w:b/>
          <w:bCs/>
          <w:color w:val="000000"/>
          <w:kern w:val="0"/>
          <w:sz w:val="31"/>
          <w:szCs w:val="31"/>
          <w:lang w:val="en-US" w:eastAsia="zh-CN" w:bidi="ar"/>
        </w:rPr>
        <w:t>比赛简介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党的二十大报告强调，教育、科技、人才是全面建设社会主义现代化国家的基础性、战略性支撑。教育、科技、人才具有不可割裂的内在关联性，三者统一于创新。</w:t>
      </w:r>
      <w:bookmarkStart w:id="28" w:name="_GoBack"/>
      <w:bookmarkEnd w:id="2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2023年11月8日，习近平主席在世界互联网大会乌镇峰会开幕式视频致辞中指出，“加强网络文明建设，促进优质网络文化产品生产传播，充分展示人类优秀文明成果，积极推动文明传承发展，共同建设网上精神家园。”动画能力是网络素养的基础之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2022年教育部颁发的《义务教育信息科技课程标准(2022年版)》中指出义务教育信息科技课程要围绕信息意识、计算思维、数字化、学习与创新、信息社会责任四大核心素养来促进中小学生数字素养与技能的提升。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中共中央政治局2023年2月21日下午就加强基础研究进行第三次集体学习,习近平总书记指出：激发青少年好奇心、想象力、探求欲，培育具备科学家潜质、愿意献身科学研究事业的青少年群体。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中小学生（含中职）正处于最富有创意、创造性思维的年龄。本赛项目的：激发青少年好奇心、想象力、探求欲，培育具备科学家潜质、愿意献身科学研究事业的青少年群体。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项目以“科技让未来生活更美好”为主题，面向未来的美好生活、可能碰到的难题、困难，提出大胆创意、创新想法、并通过2-5分钟的动画展示。通过比赛，培养青少年的想象能力、创新能力与问题探索能力，同时在比赛过程中提升学生的主题创意、综合写作、信息技术、美术、音乐等综合素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本赛项要求：登录官方赛事平台，在规定时间内，根据比赛主题要求，独立创意并构思剧情，独立创作出2-5分钟的动画作品。</w:t>
      </w:r>
    </w:p>
    <w:p>
      <w:pPr>
        <w:pStyle w:val="2"/>
        <w:numPr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二、竞赛信息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竞赛形式：省级区域赛以线上形式进行。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参赛方式：1人/队。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参赛组别：小学组、初中组、高中组（含中专和职高）。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比赛日期：5月25日（周六）。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比赛时间：2.5小时（150分钟）。</w:t>
      </w:r>
    </w:p>
    <w:tbl>
      <w:tblPr>
        <w:tblStyle w:val="10"/>
        <w:tblW w:w="5248" w:type="pct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855"/>
        <w:gridCol w:w="4497"/>
        <w:gridCol w:w="237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2" w:hRule="atLeast"/>
          <w:jc w:val="center"/>
        </w:trPr>
        <w:tc>
          <w:tcPr>
            <w:tcW w:w="1063" w:type="pct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时间</w:t>
            </w:r>
          </w:p>
        </w:tc>
        <w:tc>
          <w:tcPr>
            <w:tcW w:w="2577" w:type="pct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内容</w:t>
            </w:r>
          </w:p>
        </w:tc>
        <w:tc>
          <w:tcPr>
            <w:tcW w:w="1359" w:type="pct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highlight w:val="none"/>
                <w:lang w:val="en-US" w:eastAsia="zh-CN"/>
              </w:rPr>
              <w:t>监考室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highlight w:val="none"/>
                <w:lang w:val="en-US" w:eastAsia="zh-CN"/>
              </w:rPr>
              <w:t>（腾讯会议）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1" w:hRule="atLeast"/>
          <w:jc w:val="center"/>
        </w:trPr>
        <w:tc>
          <w:tcPr>
            <w:tcW w:w="1063" w:type="pct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8：30-9：00</w:t>
            </w:r>
          </w:p>
        </w:tc>
        <w:tc>
          <w:tcPr>
            <w:tcW w:w="2577" w:type="pct"/>
            <w:noWrap w:val="0"/>
            <w:vAlign w:val="top"/>
          </w:tcPr>
          <w:p>
            <w:pPr>
              <w:jc w:val="lef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赛前准备：进入腾讯会议室、按要求摆放监考设备、选手登陆竞赛平台</w:t>
            </w:r>
          </w:p>
        </w:tc>
        <w:tc>
          <w:tcPr>
            <w:tcW w:w="1359" w:type="pct"/>
            <w:vMerge w:val="restart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spacing w:line="360" w:lineRule="auto"/>
              <w:jc w:val="center"/>
              <w:rPr>
                <w:rFonts w:hint="eastAsia" w:asciiTheme="minorEastAsia" w:hAnsiTheme="minorEastAsia" w:cstheme="minorEastAsia"/>
                <w:sz w:val="24"/>
                <w:szCs w:val="32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32"/>
              </w:rPr>
              <w:t>422-6932-1703</w:t>
            </w:r>
          </w:p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8"/>
                <w:szCs w:val="2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1063" w:type="pct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9:00-11:30</w:t>
            </w:r>
          </w:p>
        </w:tc>
        <w:tc>
          <w:tcPr>
            <w:tcW w:w="2577" w:type="pct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竞赛开赛</w:t>
            </w:r>
          </w:p>
        </w:tc>
        <w:tc>
          <w:tcPr>
            <w:tcW w:w="1359" w:type="pct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highlight w:val="none"/>
                <w:lang w:val="en-US" w:eastAsia="zh-CN"/>
              </w:rPr>
            </w:pPr>
          </w:p>
        </w:tc>
      </w:tr>
    </w:tbl>
    <w:p>
      <w:pPr>
        <w:numPr>
          <w:ilvl w:val="0"/>
          <w:numId w:val="2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参赛账号：选手需要访问比赛专用账号登录比赛平台（bmd.yoya.com）使用“赛队编号、选手姓名、手机号”信息进行登录，可提前在下一代教育基金会官方网站（qgqks.cngef.org.cn）报名信息中查询。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278380"/>
            <wp:effectExtent l="0" t="0" r="3810" b="762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楷体" w:hAnsi="楷体" w:eastAsia="楷体" w:cs="楷体"/>
          <w:sz w:val="19"/>
          <w:szCs w:val="19"/>
          <w:lang w:val="en-US" w:eastAsia="zh-CN"/>
        </w:rPr>
      </w:pPr>
      <w:r>
        <w:rPr>
          <w:rFonts w:hint="eastAsia" w:ascii="楷体" w:hAnsi="楷体" w:eastAsia="楷体" w:cs="楷体"/>
          <w:sz w:val="19"/>
          <w:szCs w:val="19"/>
          <w:lang w:val="en-US" w:eastAsia="zh-CN"/>
        </w:rPr>
        <w:t>比赛平台</w:t>
      </w:r>
    </w:p>
    <w:p>
      <w:pPr>
        <w:numPr>
          <w:ilvl w:val="0"/>
          <w:numId w:val="0"/>
        </w:numPr>
        <w:jc w:val="center"/>
        <w:rPr>
          <w:rFonts w:hint="eastAsia" w:ascii="楷体" w:hAnsi="楷体" w:eastAsia="楷体" w:cs="楷体"/>
          <w:sz w:val="19"/>
          <w:szCs w:val="19"/>
          <w:lang w:val="en-US" w:eastAsia="zh-CN"/>
        </w:rPr>
      </w:pPr>
      <w:r>
        <w:rPr>
          <w:rFonts w:hint="eastAsia" w:ascii="楷体" w:hAnsi="楷体" w:eastAsia="楷体" w:cs="楷体"/>
          <w:sz w:val="19"/>
          <w:szCs w:val="19"/>
          <w:lang w:val="en-US" w:eastAsia="zh-CN"/>
        </w:rPr>
        <w:drawing>
          <wp:inline distT="0" distB="0" distL="114300" distR="114300">
            <wp:extent cx="4270375" cy="3484880"/>
            <wp:effectExtent l="0" t="0" r="0" b="0"/>
            <wp:docPr id="2" name="图片 2" descr="企业微信截图_1715157517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企业微信截图_17151575172058"/>
                    <pic:cNvPicPr>
                      <a:picLocks noChangeAspect="1"/>
                    </pic:cNvPicPr>
                  </pic:nvPicPr>
                  <pic:blipFill>
                    <a:blip r:embed="rId6"/>
                    <a:srcRect t="1117" r="1681"/>
                    <a:stretch>
                      <a:fillRect/>
                    </a:stretch>
                  </pic:blipFill>
                  <pic:spPr>
                    <a:xfrm>
                      <a:off x="0" y="0"/>
                      <a:ext cx="427037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楷体" w:hAnsi="楷体" w:eastAsia="楷体" w:cs="楷体"/>
          <w:sz w:val="19"/>
          <w:szCs w:val="19"/>
          <w:lang w:val="en-US" w:eastAsia="zh-CN"/>
        </w:rPr>
      </w:pPr>
      <w:r>
        <w:rPr>
          <w:rFonts w:hint="eastAsia" w:ascii="楷体" w:hAnsi="楷体" w:eastAsia="楷体" w:cs="楷体"/>
          <w:sz w:val="19"/>
          <w:szCs w:val="19"/>
          <w:lang w:val="en-US" w:eastAsia="zh-CN"/>
        </w:rPr>
        <w:t>登陆界面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监考形式：本次比赛启用线上监考（腾讯会议），选手正式比赛前需提前进入组别所在会议教室等待检录。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省级区域赛根据比赛当天线上公布的题目，在规定时间内，进行限时（150分钟）创作，并提交参赛作品。省级区域赛：总成绩=A作品评分。</w:t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第一部分个人参赛指南</w:t>
      </w:r>
    </w:p>
    <w:p>
      <w:pPr>
        <w:pStyle w:val="2"/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比赛设备</w:t>
      </w:r>
    </w:p>
    <w:p>
      <w:pPr>
        <w:pStyle w:val="3"/>
        <w:bidi w:val="0"/>
        <w:rPr>
          <w:rFonts w:hint="eastAsia"/>
        </w:rPr>
      </w:pPr>
      <w:bookmarkStart w:id="0" w:name="_Toc166006182"/>
      <w:bookmarkStart w:id="1" w:name="_Toc8446"/>
      <w:bookmarkStart w:id="2" w:name="_Toc16459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）</w:t>
      </w:r>
      <w:r>
        <w:rPr>
          <w:rFonts w:hint="eastAsia"/>
        </w:rPr>
        <w:t>硬件要求</w:t>
      </w:r>
      <w:bookmarkEnd w:id="0"/>
      <w:bookmarkEnd w:id="1"/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所有参加线上赛的参赛者必须使用两台设备，包括：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参赛设备：笔记本电脑或台式电脑，用于登录线上竞赛平台。电脑配置请参考以下要求：</w:t>
      </w:r>
    </w:p>
    <w:p>
      <w:pPr>
        <w:spacing w:line="67" w:lineRule="exact"/>
        <w:rPr>
          <w:rFonts w:hint="eastAsia" w:ascii="仿宋_GB2312" w:hAnsi="仿宋_GB2312" w:eastAsia="仿宋_GB2312" w:cs="仿宋_GB2312"/>
        </w:rPr>
      </w:pPr>
    </w:p>
    <w:tbl>
      <w:tblPr>
        <w:tblStyle w:val="8"/>
        <w:tblW w:w="8464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42"/>
        <w:gridCol w:w="622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2242" w:type="dxa"/>
            <w:noWrap w:val="0"/>
            <w:vAlign w:val="top"/>
          </w:tcPr>
          <w:p>
            <w:pPr>
              <w:pStyle w:val="11"/>
              <w:spacing w:before="119" w:line="219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5"/>
                <w:sz w:val="28"/>
                <w:szCs w:val="28"/>
              </w:rPr>
              <w:t>类别</w:t>
            </w:r>
          </w:p>
        </w:tc>
        <w:tc>
          <w:tcPr>
            <w:tcW w:w="6222" w:type="dxa"/>
            <w:noWrap w:val="0"/>
            <w:vAlign w:val="top"/>
          </w:tcPr>
          <w:p>
            <w:pPr>
              <w:pStyle w:val="11"/>
              <w:spacing w:before="118" w:line="221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3"/>
                <w:sz w:val="28"/>
                <w:szCs w:val="28"/>
              </w:rPr>
              <w:t>配置要求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  <w:jc w:val="center"/>
        </w:trPr>
        <w:tc>
          <w:tcPr>
            <w:tcW w:w="2242" w:type="dxa"/>
            <w:noWrap w:val="0"/>
            <w:vAlign w:val="top"/>
          </w:tcPr>
          <w:p>
            <w:pPr>
              <w:pStyle w:val="11"/>
              <w:spacing w:before="154" w:line="183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3"/>
                <w:sz w:val="28"/>
                <w:szCs w:val="28"/>
              </w:rPr>
              <w:t>CPU</w:t>
            </w:r>
          </w:p>
        </w:tc>
        <w:tc>
          <w:tcPr>
            <w:tcW w:w="6222" w:type="dxa"/>
            <w:noWrap w:val="0"/>
            <w:vAlign w:val="top"/>
          </w:tcPr>
          <w:p>
            <w:pPr>
              <w:pStyle w:val="11"/>
              <w:spacing w:before="117" w:line="219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7"/>
                <w:sz w:val="28"/>
                <w:szCs w:val="28"/>
              </w:rPr>
              <w:t>i58代及以上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  <w:jc w:val="center"/>
        </w:trPr>
        <w:tc>
          <w:tcPr>
            <w:tcW w:w="2242" w:type="dxa"/>
            <w:noWrap w:val="0"/>
            <w:vAlign w:val="top"/>
          </w:tcPr>
          <w:p>
            <w:pPr>
              <w:pStyle w:val="11"/>
              <w:spacing w:before="116" w:line="219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6"/>
                <w:sz w:val="28"/>
                <w:szCs w:val="28"/>
              </w:rPr>
              <w:t>主板</w:t>
            </w:r>
          </w:p>
        </w:tc>
        <w:tc>
          <w:tcPr>
            <w:tcW w:w="6222" w:type="dxa"/>
            <w:noWrap w:val="0"/>
            <w:vAlign w:val="top"/>
          </w:tcPr>
          <w:p>
            <w:pPr>
              <w:pStyle w:val="11"/>
              <w:spacing w:before="116" w:line="219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6"/>
                <w:sz w:val="28"/>
                <w:szCs w:val="28"/>
              </w:rPr>
              <w:t>主板配套CPU即可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2242" w:type="dxa"/>
            <w:noWrap w:val="0"/>
            <w:vAlign w:val="top"/>
          </w:tcPr>
          <w:p>
            <w:pPr>
              <w:pStyle w:val="11"/>
              <w:spacing w:before="118" w:line="219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20"/>
                <w:sz w:val="28"/>
                <w:szCs w:val="28"/>
              </w:rPr>
              <w:t>内存</w:t>
            </w:r>
          </w:p>
        </w:tc>
        <w:tc>
          <w:tcPr>
            <w:tcW w:w="6222" w:type="dxa"/>
            <w:noWrap w:val="0"/>
            <w:vAlign w:val="top"/>
          </w:tcPr>
          <w:p>
            <w:pPr>
              <w:pStyle w:val="11"/>
              <w:spacing w:before="118" w:line="222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4"/>
                <w:sz w:val="28"/>
                <w:szCs w:val="28"/>
              </w:rPr>
              <w:t>8G及以上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  <w:jc w:val="center"/>
        </w:trPr>
        <w:tc>
          <w:tcPr>
            <w:tcW w:w="2242" w:type="dxa"/>
            <w:noWrap w:val="0"/>
            <w:vAlign w:val="top"/>
          </w:tcPr>
          <w:p>
            <w:pPr>
              <w:pStyle w:val="11"/>
              <w:spacing w:before="117" w:line="221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5"/>
                <w:sz w:val="28"/>
                <w:szCs w:val="28"/>
              </w:rPr>
              <w:t>硬盘</w:t>
            </w:r>
          </w:p>
        </w:tc>
        <w:tc>
          <w:tcPr>
            <w:tcW w:w="6222" w:type="dxa"/>
            <w:noWrap w:val="0"/>
            <w:vAlign w:val="top"/>
          </w:tcPr>
          <w:p>
            <w:pPr>
              <w:pStyle w:val="11"/>
              <w:spacing w:before="117" w:line="222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6"/>
                <w:sz w:val="28"/>
                <w:szCs w:val="28"/>
              </w:rPr>
              <w:t>120G及以上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  <w:jc w:val="center"/>
        </w:trPr>
        <w:tc>
          <w:tcPr>
            <w:tcW w:w="2242" w:type="dxa"/>
            <w:noWrap w:val="0"/>
            <w:vAlign w:val="top"/>
          </w:tcPr>
          <w:p>
            <w:pPr>
              <w:pStyle w:val="11"/>
              <w:spacing w:before="117" w:line="221" w:lineRule="auto"/>
              <w:ind w:firstLine="0" w:firstLineChars="0"/>
              <w:jc w:val="center"/>
              <w:rPr>
                <w:rFonts w:hint="eastAsia" w:ascii="仿宋" w:hAnsi="仿宋" w:eastAsia="仿宋" w:cs="仿宋"/>
                <w:spacing w:val="-5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5"/>
                <w:sz w:val="28"/>
                <w:szCs w:val="28"/>
                <w:lang w:val="en-US" w:eastAsia="zh-CN"/>
              </w:rPr>
              <w:t>显卡</w:t>
            </w:r>
          </w:p>
        </w:tc>
        <w:tc>
          <w:tcPr>
            <w:tcW w:w="6222" w:type="dxa"/>
            <w:noWrap w:val="0"/>
            <w:vAlign w:val="top"/>
          </w:tcPr>
          <w:p>
            <w:pPr>
              <w:pStyle w:val="11"/>
              <w:spacing w:before="117" w:line="222" w:lineRule="auto"/>
              <w:ind w:firstLine="0" w:firstLineChars="0"/>
              <w:jc w:val="center"/>
              <w:rPr>
                <w:rFonts w:hint="default" w:ascii="仿宋" w:hAnsi="仿宋" w:eastAsia="仿宋" w:cs="仿宋"/>
                <w:spacing w:val="-6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6"/>
                <w:sz w:val="28"/>
                <w:szCs w:val="28"/>
                <w:lang w:val="en-US" w:eastAsia="zh-CN"/>
              </w:rPr>
              <w:t>独立显卡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  <w:jc w:val="center"/>
        </w:trPr>
        <w:tc>
          <w:tcPr>
            <w:tcW w:w="2242" w:type="dxa"/>
            <w:noWrap w:val="0"/>
            <w:vAlign w:val="top"/>
          </w:tcPr>
          <w:p>
            <w:pPr>
              <w:pStyle w:val="11"/>
              <w:spacing w:before="195" w:line="219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4"/>
                <w:sz w:val="28"/>
                <w:szCs w:val="28"/>
              </w:rPr>
              <w:t>摄像头</w:t>
            </w:r>
          </w:p>
        </w:tc>
        <w:tc>
          <w:tcPr>
            <w:tcW w:w="6222" w:type="dxa"/>
            <w:noWrap w:val="0"/>
            <w:vAlign w:val="top"/>
          </w:tcPr>
          <w:p>
            <w:pPr>
              <w:pStyle w:val="11"/>
              <w:spacing w:before="194" w:line="219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pacing w:val="-2"/>
                <w:sz w:val="28"/>
                <w:szCs w:val="28"/>
                <w:lang w:eastAsia="zh-CN"/>
              </w:rPr>
              <w:t>≥360P摄像头分辨率，推荐720P或以上分辨率</w:t>
            </w:r>
          </w:p>
        </w:tc>
      </w:tr>
    </w:tbl>
    <w:p>
      <w:pPr>
        <w:numPr>
          <w:ilvl w:val="0"/>
          <w:numId w:val="4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监考设备（1台）：可上网的智能手机（含摄像头并安装腾讯会议最新版本），该设备将用于比赛监控。在比赛过程中，须将其固定在合适的位置（详见线上赛赛前准备部分），保证全程可以看到选手面部、双手及屏幕内容。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耳机：有麦克风功能，能够正常录音。</w:t>
      </w:r>
    </w:p>
    <w:p>
      <w:pPr>
        <w:pStyle w:val="3"/>
        <w:bidi w:val="0"/>
        <w:rPr>
          <w:rFonts w:hint="eastAsia"/>
        </w:rPr>
      </w:pPr>
      <w:bookmarkStart w:id="3" w:name="bookmark3"/>
      <w:bookmarkEnd w:id="3"/>
      <w:bookmarkStart w:id="4" w:name="_Toc22151"/>
      <w:bookmarkStart w:id="5" w:name="_Toc166006183"/>
      <w:bookmarkStart w:id="6" w:name="_Toc16819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）</w:t>
      </w:r>
      <w:r>
        <w:rPr>
          <w:rFonts w:hint="eastAsia"/>
        </w:rPr>
        <w:t>软件要求</w:t>
      </w:r>
      <w:bookmarkEnd w:id="4"/>
      <w:bookmarkEnd w:id="5"/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电脑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可联网，并</w:t>
      </w:r>
      <w:r>
        <w:rPr>
          <w:rFonts w:hint="eastAsia" w:ascii="仿宋" w:hAnsi="仿宋" w:eastAsia="仿宋" w:cs="仿宋"/>
          <w:sz w:val="28"/>
          <w:szCs w:val="28"/>
        </w:rPr>
        <w:t>安装浏览器，推荐安装最新的谷歌Chrome浏览器（69.0版本以上）或360极速浏览器（极速模式），配置国产操作系统、Win7以上windows版本或MacOS。自行安装中文的输入法，具体类型不限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pStyle w:val="3"/>
        <w:bidi w:val="0"/>
        <w:rPr>
          <w:rFonts w:hint="eastAsia"/>
        </w:rPr>
      </w:pPr>
      <w:bookmarkStart w:id="7" w:name="bookmark4"/>
      <w:bookmarkEnd w:id="7"/>
      <w:bookmarkStart w:id="8" w:name="_Toc166006184"/>
      <w:bookmarkStart w:id="9" w:name="_Toc9316"/>
      <w:bookmarkStart w:id="10" w:name="_Toc9587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三</w:t>
      </w:r>
      <w:r>
        <w:rPr>
          <w:rFonts w:hint="eastAsia"/>
          <w:lang w:eastAsia="zh-CN"/>
        </w:rPr>
        <w:t>）</w:t>
      </w:r>
      <w:r>
        <w:rPr>
          <w:rFonts w:hint="eastAsia"/>
        </w:rPr>
        <w:t>注意事项</w:t>
      </w:r>
      <w:bookmarkEnd w:id="8"/>
      <w:bookmarkEnd w:id="9"/>
      <w:bookmarkEnd w:id="10"/>
    </w:p>
    <w:p>
      <w:pPr>
        <w:numPr>
          <w:ilvl w:val="0"/>
          <w:numId w:val="5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比赛期间需要稳定的互联网环境支持以及安静的比赛环境。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手机作为监考设备，请连接充电线保证电量充足，并开启WI-FI，关闭除“腾讯会议”外的其它应用，保证WI-FI网络畅通。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重要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：建议监考的手机在有WIFI的情况下开启飞行模式后，手动开启无线网络，以免电话干扰。</w:t>
      </w:r>
    </w:p>
    <w:p>
      <w:pPr>
        <w:pStyle w:val="2"/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竞赛流程</w:t>
      </w:r>
    </w:p>
    <w:p>
      <w:pPr>
        <w:pStyle w:val="3"/>
        <w:numPr>
          <w:ilvl w:val="0"/>
          <w:numId w:val="6"/>
        </w:numPr>
        <w:bidi w:val="0"/>
        <w:rPr>
          <w:rFonts w:hint="default"/>
          <w:lang w:val="en-US"/>
        </w:rPr>
      </w:pPr>
      <w:bookmarkStart w:id="11" w:name="_Toc166006186"/>
      <w:bookmarkStart w:id="12" w:name="_Toc18010"/>
      <w:bookmarkStart w:id="13" w:name="_Toc12477"/>
      <w:r>
        <w:rPr>
          <w:rFonts w:hint="eastAsia"/>
          <w:lang w:val="en-US" w:eastAsia="zh-CN"/>
        </w:rPr>
        <w:t>赛前准备：</w:t>
      </w:r>
      <w:bookmarkEnd w:id="11"/>
      <w:bookmarkEnd w:id="12"/>
      <w:bookmarkEnd w:id="13"/>
      <w:r>
        <w:rPr>
          <w:rFonts w:hint="eastAsia"/>
          <w:lang w:val="en-US" w:eastAsia="zh-CN"/>
        </w:rPr>
        <w:t>加入线上监考</w:t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在竞赛开赛前，请提前30分钟进入腾讯会议进行监考设备测试，参赛选手登录参赛平台，熟悉操作。</w:t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准备移动终端设备（可采用智能手机）接入腾讯会议专门用于监考，移动终端设备要求在赛前安装好腾讯会议APP并且具备高清摄像头满足腾讯会议监考。苹果系统进入APPStore搜索“腾讯会议”安装；安卓系统在应用商城搜索“腾讯会议”安装。（安装完成后，需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要</w:t>
      </w:r>
      <w:r>
        <w:rPr>
          <w:rFonts w:hint="eastAsia" w:ascii="仿宋" w:hAnsi="仿宋" w:eastAsia="仿宋" w:cs="仿宋"/>
          <w:sz w:val="28"/>
          <w:szCs w:val="28"/>
        </w:rPr>
        <w:t>登陆APP查看确认为最新版本）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1998980" cy="2879725"/>
            <wp:effectExtent l="0" t="0" r="1270" b="158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赛</w:t>
      </w:r>
      <w:r>
        <w:rPr>
          <w:rFonts w:hint="eastAsia" w:ascii="仿宋" w:hAnsi="仿宋" w:eastAsia="仿宋" w:cs="仿宋"/>
          <w:sz w:val="28"/>
          <w:szCs w:val="28"/>
        </w:rPr>
        <w:t>前30分钟在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监考设备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</w:rPr>
        <w:t>移动终端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上登录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对应组别的监考室（</w:t>
      </w:r>
      <w:r>
        <w:rPr>
          <w:rFonts w:hint="eastAsia" w:ascii="仿宋" w:hAnsi="仿宋" w:eastAsia="仿宋" w:cs="仿宋"/>
          <w:sz w:val="28"/>
          <w:szCs w:val="28"/>
        </w:rPr>
        <w:t>腾讯会议会议室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）。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021840" cy="1119505"/>
            <wp:effectExtent l="0" t="0" r="16510" b="44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numPr>
          <w:ilvl w:val="0"/>
          <w:numId w:val="7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“您的名称”处请填“学校+姓名+身份证号后四位”，“入会开启扬声器”，“入会开启摄像头”两个选项请勾选，并注意请不要选择虚拟背景及美颜，点击“加入会议”后，进入线上监考会议。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1831975" cy="2016125"/>
            <wp:effectExtent l="0" t="0" r="1587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numPr>
          <w:ilvl w:val="0"/>
          <w:numId w:val="7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监考设备摆放及画面要求</w:t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入会议后，参赛者必须打开左侧监考移动终端设备（以智能手机为例）的后置摄像头和麦克风，按下图要求摆放：手机置于左侧，用于实时监控选手动向；手机录像中须能看清电脑屏幕编辑区、选手双手、选手面部。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163060" cy="4140200"/>
            <wp:effectExtent l="0" t="0" r="8890" b="1270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保持桌面整洁，不要放置与比赛无关的物品。</w:t>
      </w:r>
    </w:p>
    <w:p>
      <w:pPr>
        <w:pStyle w:val="3"/>
        <w:numPr>
          <w:ilvl w:val="0"/>
          <w:numId w:val="6"/>
        </w:numPr>
        <w:bidi w:val="0"/>
        <w:rPr>
          <w:rFonts w:hint="eastAsia"/>
        </w:rPr>
      </w:pPr>
      <w:bookmarkStart w:id="14" w:name="_Toc17854"/>
      <w:bookmarkStart w:id="15" w:name="_Toc166006187"/>
      <w:bookmarkStart w:id="16" w:name="_Toc5140"/>
      <w:r>
        <w:rPr>
          <w:rFonts w:hint="eastAsia"/>
          <w:lang w:val="en-US" w:eastAsia="zh-CN"/>
        </w:rPr>
        <w:t>赛前准备：</w:t>
      </w:r>
      <w:r>
        <w:rPr>
          <w:rFonts w:hint="eastAsia"/>
        </w:rPr>
        <w:t>登录参赛</w:t>
      </w:r>
      <w:bookmarkEnd w:id="14"/>
      <w:r>
        <w:rPr>
          <w:rFonts w:hint="eastAsia"/>
        </w:rPr>
        <w:t>平台</w:t>
      </w:r>
      <w:bookmarkEnd w:id="15"/>
      <w:bookmarkEnd w:id="16"/>
    </w:p>
    <w:p>
      <w:pPr>
        <w:numPr>
          <w:ilvl w:val="0"/>
          <w:numId w:val="8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参赛平台登录及参赛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待参赛者进入监考会议后，在Chrome（谷歌）浏览器或360极速浏览器网址栏输入网址bmd.yoya.com，进入页面后，点击“立即参赛”，按提示选择对应赛区后，点击“参赛”按钮，输入赛队编号、姓名、报名手机号点击即可进入比赛页面，比赛开始时即可进入制作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position w:val="-53"/>
        </w:rPr>
      </w:pPr>
      <w:r>
        <w:rPr>
          <w:rFonts w:hint="eastAsia" w:ascii="仿宋_GB2312" w:hAnsi="仿宋_GB2312" w:eastAsia="仿宋_GB2312" w:cs="仿宋_GB2312"/>
          <w:position w:val="-53"/>
        </w:rPr>
        <w:drawing>
          <wp:inline distT="0" distB="0" distL="114300" distR="114300">
            <wp:extent cx="4269740" cy="1692910"/>
            <wp:effectExtent l="0" t="0" r="16510" b="2540"/>
            <wp:docPr id="7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6974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position w:val="-92"/>
        </w:rPr>
      </w:pPr>
      <w:r>
        <w:rPr>
          <w:rFonts w:hint="eastAsia" w:ascii="仿宋_GB2312" w:hAnsi="仿宋_GB2312" w:eastAsia="仿宋_GB2312" w:cs="仿宋_GB2312"/>
          <w:position w:val="-92"/>
        </w:rPr>
        <w:drawing>
          <wp:inline distT="0" distB="0" distL="114300" distR="114300">
            <wp:extent cx="3609975" cy="2925445"/>
            <wp:effectExtent l="0" t="0" r="9525" b="8255"/>
            <wp:docPr id="8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position w:val="-92"/>
        </w:rPr>
      </w:pPr>
      <w:r>
        <w:rPr>
          <w:rFonts w:hint="eastAsia" w:ascii="楷体" w:hAnsi="楷体" w:eastAsia="楷体" w:cs="楷体"/>
          <w:sz w:val="19"/>
          <w:szCs w:val="19"/>
          <w:lang w:val="en-US" w:eastAsia="zh-CN"/>
        </w:rPr>
        <w:drawing>
          <wp:inline distT="0" distB="0" distL="114300" distR="114300">
            <wp:extent cx="2711450" cy="2212975"/>
            <wp:effectExtent l="0" t="0" r="12700" b="15875"/>
            <wp:docPr id="10" name="图片 10" descr="企业微信截图_1715157517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企业微信截图_17151575172058"/>
                    <pic:cNvPicPr>
                      <a:picLocks noChangeAspect="1"/>
                    </pic:cNvPicPr>
                  </pic:nvPicPr>
                  <pic:blipFill>
                    <a:blip r:embed="rId6"/>
                    <a:srcRect t="1117" r="1681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注意：</w:t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青科赛报名网站（qgqks.cngef.org.cn）为下一代教育基金会官方网站，科技创意动画挑战赛比赛网站（bmd.yoya.com）为本赛项参赛网站，这是2个不同的网站，账号不通用。</w:t>
      </w:r>
    </w:p>
    <w:p>
      <w:pPr>
        <w:numPr>
          <w:ilvl w:val="0"/>
          <w:numId w:val="8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入比赛平台，将显示报名信息，选手可对照全国赛事组委会报名信息，核对信息是否一致，点击参赛作品按钮，进入参赛作品页面。根据各省区域赛要求时间公布比赛题目，并且在比赛时间开始后才能添加作品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position w:val="-92"/>
        </w:rPr>
      </w:pPr>
      <w:r>
        <w:rPr>
          <w:rFonts w:hint="eastAsia" w:ascii="仿宋_GB2312" w:hAnsi="仿宋_GB2312" w:eastAsia="仿宋_GB2312" w:cs="仿宋_GB2312"/>
          <w:position w:val="-92"/>
        </w:rPr>
        <w:drawing>
          <wp:inline distT="0" distB="0" distL="114300" distR="114300">
            <wp:extent cx="5405120" cy="2928620"/>
            <wp:effectExtent l="0" t="0" r="5080" b="5080"/>
            <wp:docPr id="11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position w:val="-73"/>
        </w:rPr>
      </w:pPr>
      <w:r>
        <w:rPr>
          <w:rFonts w:hint="eastAsia" w:ascii="仿宋_GB2312" w:hAnsi="仿宋_GB2312" w:eastAsia="仿宋_GB2312" w:cs="仿宋_GB2312"/>
          <w:position w:val="-73"/>
        </w:rPr>
        <w:drawing>
          <wp:inline distT="0" distB="0" distL="114300" distR="114300">
            <wp:extent cx="5445125" cy="2339340"/>
            <wp:effectExtent l="0" t="0" r="3175" b="3810"/>
            <wp:docPr id="12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bidi w:val="0"/>
        <w:rPr>
          <w:rFonts w:hint="eastAsia"/>
        </w:rPr>
      </w:pPr>
      <w:r>
        <w:rPr>
          <w:rFonts w:hint="eastAsia"/>
          <w:lang w:val="en-US" w:eastAsia="zh-CN"/>
        </w:rPr>
        <w:t>开赛流程</w:t>
      </w:r>
    </w:p>
    <w:p>
      <w:pPr>
        <w:numPr>
          <w:ilvl w:val="0"/>
          <w:numId w:val="9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根据区域赛要求比赛时间，创作端口即开放。点击添加作品按钮，新建优芽动画，填写好作品名称后点击开始制作，进入动画编辑页面。</w:t>
      </w:r>
    </w:p>
    <w:p>
      <w:pPr>
        <w:jc w:val="center"/>
        <w:rPr>
          <w:rFonts w:hint="eastAsia" w:ascii="仿宋_GB2312" w:hAnsi="仿宋_GB2312" w:eastAsia="仿宋_GB2312" w:cs="仿宋_GB2312"/>
          <w:position w:val="-227"/>
        </w:rPr>
      </w:pPr>
      <w:r>
        <w:rPr>
          <w:rFonts w:hint="eastAsia" w:ascii="仿宋_GB2312" w:hAnsi="仿宋_GB2312" w:eastAsia="仿宋_GB2312" w:cs="仿宋_GB2312"/>
          <w:position w:val="-227"/>
        </w:rPr>
        <w:drawing>
          <wp:inline distT="0" distB="0" distL="114300" distR="114300">
            <wp:extent cx="3805555" cy="5873750"/>
            <wp:effectExtent l="0" t="0" r="4445" b="1270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5555" cy="58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作品完成后，点击右上角“递交”按钮。回到参赛作品页面，在比赛时间截止前，点击提交按钮，提交后即可完成比赛。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position w:val="-87"/>
        </w:rPr>
      </w:pPr>
      <w:r>
        <w:rPr>
          <w:rFonts w:hint="eastAsia" w:ascii="仿宋_GB2312" w:hAnsi="仿宋_GB2312" w:eastAsia="仿宋_GB2312" w:cs="仿宋_GB2312"/>
          <w:position w:val="-87"/>
        </w:rPr>
        <w:drawing>
          <wp:inline distT="0" distB="0" distL="114300" distR="114300">
            <wp:extent cx="5903595" cy="2771775"/>
            <wp:effectExtent l="0" t="0" r="1905" b="9525"/>
            <wp:docPr id="14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如未及时提交，竞赛截止时间到后系统将会强制提交，提交后无法再编辑修改。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position w:val="-75"/>
        </w:rPr>
        <w:drawing>
          <wp:inline distT="0" distB="0" distL="114300" distR="114300">
            <wp:extent cx="5407025" cy="2381885"/>
            <wp:effectExtent l="0" t="0" r="3175" b="18415"/>
            <wp:docPr id="15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position w:val="-227"/>
        </w:rPr>
      </w:pP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position w:val="-73"/>
          <w:lang w:val="en-US" w:eastAsia="zh-CN"/>
        </w:rPr>
      </w:pPr>
    </w:p>
    <w:p>
      <w:pPr>
        <w:rPr>
          <w:rFonts w:hint="eastAsia"/>
        </w:rPr>
      </w:pPr>
    </w:p>
    <w:p>
      <w:pPr>
        <w:pStyle w:val="2"/>
        <w:numPr>
          <w:ilvl w:val="0"/>
          <w:numId w:val="1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团体赛点参赛指南</w:t>
      </w:r>
    </w:p>
    <w:p>
      <w:pPr>
        <w:pStyle w:val="2"/>
        <w:numPr>
          <w:ilvl w:val="0"/>
          <w:numId w:val="11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团体赛点设置要求</w:t>
      </w:r>
    </w:p>
    <w:p>
      <w:pPr>
        <w:pStyle w:val="3"/>
        <w:numPr>
          <w:ilvl w:val="0"/>
          <w:numId w:val="12"/>
        </w:numPr>
        <w:bidi w:val="0"/>
        <w:rPr>
          <w:rFonts w:hint="eastAsia" w:ascii="Arial" w:hAnsi="Arial"/>
          <w:lang w:val="en-US" w:eastAsia="zh-CN"/>
        </w:rPr>
      </w:pPr>
      <w:r>
        <w:rPr>
          <w:rFonts w:hint="eastAsia" w:ascii="Arial" w:hAnsi="Arial"/>
          <w:lang w:val="en-US" w:eastAsia="zh-CN"/>
        </w:rPr>
        <w:t>场地及配置要求</w:t>
      </w:r>
    </w:p>
    <w:p>
      <w:pPr>
        <w:numPr>
          <w:ilvl w:val="0"/>
          <w:numId w:val="13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要求空间封闭且整洁，环境相对安静、独立、光线明亮（不反光）。</w:t>
      </w:r>
    </w:p>
    <w:p>
      <w:pPr>
        <w:numPr>
          <w:ilvl w:val="0"/>
          <w:numId w:val="13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每间教室纵向排列，配置40-50台可独立使用且正常访问互联网的电脑。</w:t>
      </w:r>
    </w:p>
    <w:p>
      <w:pPr>
        <w:numPr>
          <w:ilvl w:val="0"/>
          <w:numId w:val="13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赛场需布置布标，布标内容：第四届全国青少年科技教育成果展示大赛**区域赛-科技创意动画挑战赛XX市XX学校XX分赛点。（同一学校设置多个分赛点的，分赛点序号按数字递增，譬如1,2,3…）。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position w:val="-102"/>
        </w:rPr>
        <w:drawing>
          <wp:inline distT="0" distB="0" distL="114300" distR="114300">
            <wp:extent cx="5780405" cy="3265805"/>
            <wp:effectExtent l="0" t="0" r="10795" b="10795"/>
            <wp:docPr id="16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8040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78" w:line="219" w:lineRule="auto"/>
        <w:jc w:val="center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pacing w:val="-3"/>
          <w:sz w:val="24"/>
          <w:szCs w:val="24"/>
        </w:rPr>
        <w:t>（布标示例图）</w:t>
      </w:r>
    </w:p>
    <w:p>
      <w:pPr>
        <w:pStyle w:val="3"/>
        <w:numPr>
          <w:ilvl w:val="0"/>
          <w:numId w:val="12"/>
        </w:numPr>
        <w:bidi w:val="0"/>
        <w:rPr>
          <w:rFonts w:hint="default" w:ascii="Arial" w:hAnsi="Arial"/>
          <w:lang w:val="en-US" w:eastAsia="zh-CN"/>
        </w:rPr>
      </w:pPr>
      <w:r>
        <w:rPr>
          <w:rFonts w:hint="default" w:ascii="Arial" w:hAnsi="Arial"/>
          <w:lang w:val="en-US" w:eastAsia="zh-CN"/>
        </w:rPr>
        <w:t>监考要求</w:t>
      </w:r>
    </w:p>
    <w:p>
      <w:pPr>
        <w:numPr>
          <w:ilvl w:val="0"/>
          <w:numId w:val="14"/>
        </w:numPr>
        <w:ind w:left="425" w:leftChars="0" w:hanging="425" w:firstLine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赛点开赛时，每间教室为一个赛场。每个赛点需设置负责人一名，每个赛场需设置监考老师二名。以上所有负责人和老师均为学校正式在编老师。</w:t>
      </w:r>
    </w:p>
    <w:p>
      <w:pPr>
        <w:numPr>
          <w:ilvl w:val="0"/>
          <w:numId w:val="14"/>
        </w:numPr>
        <w:ind w:left="425" w:leftChars="0" w:hanging="425" w:firstLine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赛场监控规划：根据赛场教室电脑实际摆放，需在赛场教室的斜对角分别各放置1台移动智能终端（以智能手机为例）进行赛场监控。手机设备需要正常连接网络（建议监考的手机在有WIFI的情况下开启飞行模式后，打开无线网络，以免电话干扰）。赛场监控布置参考方案如下：</w:t>
      </w:r>
    </w:p>
    <w:tbl>
      <w:tblPr>
        <w:tblStyle w:val="8"/>
        <w:tblW w:w="9061" w:type="dxa"/>
        <w:jc w:val="right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2"/>
        <w:gridCol w:w="451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right"/>
        </w:trPr>
        <w:tc>
          <w:tcPr>
            <w:tcW w:w="4542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hint="eastAsia" w:ascii="仿宋" w:hAnsi="仿宋" w:eastAsia="仿宋" w:cs="仿宋"/>
                <w:position w:val="-97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position w:val="-97"/>
                <w:sz w:val="28"/>
                <w:szCs w:val="28"/>
              </w:rPr>
              <w:drawing>
                <wp:inline distT="0" distB="0" distL="114300" distR="114300">
                  <wp:extent cx="2337435" cy="3090545"/>
                  <wp:effectExtent l="0" t="0" r="5715" b="14605"/>
                  <wp:docPr id="18" name="图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435" cy="309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0" w:firstLineChars="0"/>
              <w:jc w:val="center"/>
              <w:rPr>
                <w:rFonts w:hint="eastAsia" w:ascii="仿宋" w:hAnsi="仿宋" w:eastAsia="仿宋" w:cs="仿宋"/>
                <w:position w:val="-97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5"/>
                <w:sz w:val="28"/>
                <w:szCs w:val="28"/>
              </w:rPr>
              <w:t>（方案一）</w:t>
            </w:r>
          </w:p>
        </w:tc>
        <w:tc>
          <w:tcPr>
            <w:tcW w:w="4519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hint="eastAsia" w:ascii="仿宋" w:hAnsi="仿宋" w:eastAsia="仿宋" w:cs="仿宋"/>
                <w:spacing w:val="-5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5"/>
                <w:sz w:val="28"/>
                <w:szCs w:val="28"/>
              </w:rPr>
              <w:drawing>
                <wp:inline distT="0" distB="0" distL="114300" distR="114300">
                  <wp:extent cx="2300605" cy="3068955"/>
                  <wp:effectExtent l="0" t="0" r="4445" b="17145"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605" cy="306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0" w:firstLineChars="0"/>
              <w:jc w:val="center"/>
              <w:rPr>
                <w:rFonts w:hint="eastAsia" w:ascii="仿宋" w:hAnsi="仿宋" w:eastAsia="仿宋" w:cs="仿宋"/>
                <w:spacing w:val="-5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5"/>
                <w:sz w:val="28"/>
                <w:szCs w:val="28"/>
              </w:rPr>
              <w:t>（方案二）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right"/>
        </w:trPr>
        <w:tc>
          <w:tcPr>
            <w:tcW w:w="4542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pacing w:val="-5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-40005</wp:posOffset>
                  </wp:positionV>
                  <wp:extent cx="2346325" cy="2760980"/>
                  <wp:effectExtent l="0" t="0" r="15875" b="1270"/>
                  <wp:wrapTight wrapText="bothSides">
                    <wp:wrapPolygon>
                      <wp:start x="0" y="0"/>
                      <wp:lineTo x="0" y="21461"/>
                      <wp:lineTo x="21395" y="21461"/>
                      <wp:lineTo x="21395" y="0"/>
                      <wp:lineTo x="0" y="0"/>
                    </wp:wrapPolygon>
                  </wp:wrapTight>
                  <wp:docPr id="19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325" cy="276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pacing w:val="-5"/>
                <w:sz w:val="28"/>
                <w:szCs w:val="28"/>
              </w:rPr>
              <w:t>（方案三）</w:t>
            </w:r>
          </w:p>
          <w:p>
            <w:pPr>
              <w:spacing w:line="240" w:lineRule="auto"/>
              <w:ind w:firstLine="0" w:firstLineChars="0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4519" w:type="dxa"/>
            <w:noWrap w:val="0"/>
            <w:vAlign w:val="center"/>
          </w:tcPr>
          <w:p>
            <w:pPr>
              <w:ind w:firstLine="0" w:firstLineChars="0"/>
              <w:rPr>
                <w:rFonts w:hint="eastAsia" w:ascii="仿宋_GB2312" w:hAnsi="仿宋_GB2312" w:eastAsia="仿宋_GB2312" w:cs="仿宋_GB2312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手机离地面高度为1.5-1.7米（可放置在课桌上或直接使用三角支架，可根据教室的实际情况进行调整），横屏放置并稍微朝下，需要能拍到教室的所有参赛者。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监考由赛前准备开始，采用手机登陆腾讯会议APP，进入对应监考房间的方式进行。手机背向参赛者，使用后置摄像头进行拍摄，不使用虚拟背景和美颜。</w:t>
      </w:r>
    </w:p>
    <w:p>
      <w:pPr>
        <w:pStyle w:val="3"/>
        <w:numPr>
          <w:ilvl w:val="0"/>
          <w:numId w:val="12"/>
        </w:numPr>
        <w:bidi w:val="0"/>
        <w:rPr>
          <w:rFonts w:hint="eastAsia"/>
        </w:rPr>
      </w:pPr>
      <w:bookmarkStart w:id="17" w:name="_Toc8395"/>
      <w:bookmarkStart w:id="18" w:name="_Toc24136"/>
      <w:bookmarkStart w:id="19" w:name="_Toc12527"/>
      <w:r>
        <w:rPr>
          <w:rFonts w:hint="eastAsia"/>
        </w:rPr>
        <w:t>设备要求</w:t>
      </w:r>
      <w:bookmarkEnd w:id="17"/>
      <w:bookmarkEnd w:id="18"/>
      <w:bookmarkEnd w:id="19"/>
    </w:p>
    <w:p>
      <w:pPr>
        <w:numPr>
          <w:ilvl w:val="0"/>
          <w:numId w:val="15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网络要求：比赛现场需要可以联网，网络带宽需要至少200Kbps/，2Mbp以上带宽参赛最佳。如果需要教师工号登录或认证码，需要提前准备。</w:t>
      </w:r>
    </w:p>
    <w:p>
      <w:pPr>
        <w:numPr>
          <w:ilvl w:val="0"/>
          <w:numId w:val="15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电脑要求：笔记本电脑或者台式电脑，Windows7及以上系统，电脑最低推荐配置标准如下。电脑配备鼠标键盘，需配置耳机（耳机需适配电脑配置，可选择双孔、单孔、usb接口等接口）、耳麦（用于录音）。</w:t>
      </w:r>
    </w:p>
    <w:tbl>
      <w:tblPr>
        <w:tblStyle w:val="8"/>
        <w:tblW w:w="6243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67"/>
        <w:gridCol w:w="347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  <w:jc w:val="center"/>
        </w:trPr>
        <w:tc>
          <w:tcPr>
            <w:tcW w:w="2767" w:type="dxa"/>
            <w:noWrap w:val="0"/>
            <w:vAlign w:val="top"/>
          </w:tcPr>
          <w:p>
            <w:pPr>
              <w:pStyle w:val="11"/>
              <w:spacing w:before="119" w:line="219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5"/>
                <w:sz w:val="28"/>
                <w:szCs w:val="28"/>
              </w:rPr>
              <w:t>类别</w:t>
            </w:r>
          </w:p>
        </w:tc>
        <w:tc>
          <w:tcPr>
            <w:tcW w:w="3476" w:type="dxa"/>
            <w:noWrap w:val="0"/>
            <w:vAlign w:val="top"/>
          </w:tcPr>
          <w:p>
            <w:pPr>
              <w:pStyle w:val="11"/>
              <w:spacing w:before="118" w:line="221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3"/>
                <w:sz w:val="28"/>
                <w:szCs w:val="28"/>
              </w:rPr>
              <w:t>配置要求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  <w:jc w:val="center"/>
        </w:trPr>
        <w:tc>
          <w:tcPr>
            <w:tcW w:w="2767" w:type="dxa"/>
            <w:noWrap w:val="0"/>
            <w:vAlign w:val="top"/>
          </w:tcPr>
          <w:p>
            <w:pPr>
              <w:pStyle w:val="11"/>
              <w:spacing w:before="154" w:line="183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3"/>
                <w:sz w:val="28"/>
                <w:szCs w:val="28"/>
              </w:rPr>
              <w:t>CPU</w:t>
            </w:r>
          </w:p>
        </w:tc>
        <w:tc>
          <w:tcPr>
            <w:tcW w:w="3476" w:type="dxa"/>
            <w:noWrap w:val="0"/>
            <w:vAlign w:val="top"/>
          </w:tcPr>
          <w:p>
            <w:pPr>
              <w:pStyle w:val="11"/>
              <w:spacing w:before="117" w:line="219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7"/>
                <w:sz w:val="28"/>
                <w:szCs w:val="28"/>
              </w:rPr>
              <w:t>Intlei58代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  <w:jc w:val="center"/>
        </w:trPr>
        <w:tc>
          <w:tcPr>
            <w:tcW w:w="2767" w:type="dxa"/>
            <w:noWrap w:val="0"/>
            <w:vAlign w:val="top"/>
          </w:tcPr>
          <w:p>
            <w:pPr>
              <w:pStyle w:val="11"/>
              <w:spacing w:before="116" w:line="219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6"/>
                <w:sz w:val="28"/>
                <w:szCs w:val="28"/>
              </w:rPr>
              <w:t>主板</w:t>
            </w:r>
          </w:p>
        </w:tc>
        <w:tc>
          <w:tcPr>
            <w:tcW w:w="3476" w:type="dxa"/>
            <w:noWrap w:val="0"/>
            <w:vAlign w:val="top"/>
          </w:tcPr>
          <w:p>
            <w:pPr>
              <w:pStyle w:val="11"/>
              <w:spacing w:before="116" w:line="219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4"/>
                <w:sz w:val="28"/>
                <w:szCs w:val="28"/>
              </w:rPr>
              <w:t>主板配套CPU即可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  <w:jc w:val="center"/>
        </w:trPr>
        <w:tc>
          <w:tcPr>
            <w:tcW w:w="2767" w:type="dxa"/>
            <w:noWrap w:val="0"/>
            <w:vAlign w:val="top"/>
          </w:tcPr>
          <w:p>
            <w:pPr>
              <w:pStyle w:val="11"/>
              <w:spacing w:before="118" w:line="219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20"/>
                <w:sz w:val="28"/>
                <w:szCs w:val="28"/>
              </w:rPr>
              <w:t>内存</w:t>
            </w:r>
          </w:p>
        </w:tc>
        <w:tc>
          <w:tcPr>
            <w:tcW w:w="3476" w:type="dxa"/>
            <w:noWrap w:val="0"/>
            <w:vAlign w:val="top"/>
          </w:tcPr>
          <w:p>
            <w:pPr>
              <w:pStyle w:val="11"/>
              <w:spacing w:before="118" w:line="222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4"/>
                <w:sz w:val="28"/>
                <w:szCs w:val="28"/>
              </w:rPr>
              <w:t>8G及以上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  <w:jc w:val="center"/>
        </w:trPr>
        <w:tc>
          <w:tcPr>
            <w:tcW w:w="2767" w:type="dxa"/>
            <w:noWrap w:val="0"/>
            <w:vAlign w:val="top"/>
          </w:tcPr>
          <w:p>
            <w:pPr>
              <w:pStyle w:val="11"/>
              <w:spacing w:before="118" w:line="221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5"/>
                <w:sz w:val="28"/>
                <w:szCs w:val="28"/>
              </w:rPr>
              <w:t>硬盘</w:t>
            </w:r>
          </w:p>
        </w:tc>
        <w:tc>
          <w:tcPr>
            <w:tcW w:w="3476" w:type="dxa"/>
            <w:noWrap w:val="0"/>
            <w:vAlign w:val="top"/>
          </w:tcPr>
          <w:p>
            <w:pPr>
              <w:pStyle w:val="11"/>
              <w:spacing w:before="118" w:line="222" w:lineRule="auto"/>
              <w:ind w:firstLine="0" w:firstLineChars="0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6"/>
                <w:sz w:val="28"/>
                <w:szCs w:val="28"/>
              </w:rPr>
              <w:t>120G及以上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  <w:jc w:val="center"/>
        </w:trPr>
        <w:tc>
          <w:tcPr>
            <w:tcW w:w="2767" w:type="dxa"/>
            <w:noWrap w:val="0"/>
            <w:vAlign w:val="top"/>
          </w:tcPr>
          <w:p>
            <w:pPr>
              <w:pStyle w:val="11"/>
              <w:spacing w:before="118" w:line="221" w:lineRule="auto"/>
              <w:ind w:firstLine="0" w:firstLineChars="0"/>
              <w:jc w:val="center"/>
              <w:rPr>
                <w:rFonts w:hint="eastAsia" w:ascii="仿宋" w:hAnsi="仿宋" w:eastAsia="仿宋" w:cs="仿宋"/>
                <w:spacing w:val="-5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5"/>
                <w:sz w:val="28"/>
                <w:szCs w:val="28"/>
                <w:lang w:val="en-US" w:eastAsia="zh-CN"/>
              </w:rPr>
              <w:t>显卡</w:t>
            </w:r>
          </w:p>
        </w:tc>
        <w:tc>
          <w:tcPr>
            <w:tcW w:w="3476" w:type="dxa"/>
            <w:noWrap w:val="0"/>
            <w:vAlign w:val="top"/>
          </w:tcPr>
          <w:p>
            <w:pPr>
              <w:pStyle w:val="11"/>
              <w:spacing w:before="118" w:line="222" w:lineRule="auto"/>
              <w:ind w:firstLine="0" w:firstLineChars="0"/>
              <w:jc w:val="center"/>
              <w:rPr>
                <w:rFonts w:hint="eastAsia" w:ascii="仿宋" w:hAnsi="仿宋" w:eastAsia="仿宋" w:cs="仿宋"/>
                <w:spacing w:val="-6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6"/>
                <w:sz w:val="28"/>
                <w:szCs w:val="28"/>
                <w:lang w:val="en-US" w:eastAsia="zh-CN"/>
              </w:rPr>
              <w:t>独立显卡</w:t>
            </w:r>
          </w:p>
        </w:tc>
      </w:tr>
    </w:tbl>
    <w:p>
      <w:pPr>
        <w:numPr>
          <w:ilvl w:val="0"/>
          <w:numId w:val="15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系统要求：Windows7及以上系统，需提前安装好chrome浏览器、输入法。</w:t>
      </w:r>
    </w:p>
    <w:p>
      <w:pPr>
        <w:pStyle w:val="2"/>
        <w:numPr>
          <w:ilvl w:val="0"/>
          <w:numId w:val="11"/>
        </w:numPr>
        <w:bidi w:val="0"/>
        <w:rPr>
          <w:rFonts w:hint="eastAsia"/>
        </w:rPr>
      </w:pPr>
      <w:bookmarkStart w:id="20" w:name="_Toc12053"/>
      <w:bookmarkStart w:id="21" w:name="_Toc8945"/>
      <w:bookmarkStart w:id="22" w:name="_Toc22833"/>
      <w:bookmarkStart w:id="23" w:name="_Toc18074"/>
      <w:bookmarkStart w:id="24" w:name="_Toc21850"/>
      <w:r>
        <w:rPr>
          <w:rFonts w:hint="eastAsia"/>
        </w:rPr>
        <w:t>团体赛点</w:t>
      </w:r>
      <w:bookmarkEnd w:id="20"/>
      <w:bookmarkEnd w:id="21"/>
      <w:bookmarkEnd w:id="22"/>
      <w:r>
        <w:rPr>
          <w:rFonts w:hint="eastAsia"/>
        </w:rPr>
        <w:t>赛前准备</w:t>
      </w:r>
      <w:bookmarkEnd w:id="23"/>
      <w:bookmarkEnd w:id="24"/>
    </w:p>
    <w:p>
      <w:pPr>
        <w:pStyle w:val="3"/>
        <w:numPr>
          <w:ilvl w:val="0"/>
          <w:numId w:val="16"/>
        </w:numPr>
        <w:bidi w:val="0"/>
        <w:rPr>
          <w:rFonts w:hint="eastAsia"/>
        </w:rPr>
      </w:pPr>
      <w:bookmarkStart w:id="25" w:name="_Toc24520"/>
      <w:bookmarkStart w:id="26" w:name="_Toc9023"/>
      <w:bookmarkStart w:id="27" w:name="_Toc15577"/>
      <w:r>
        <w:rPr>
          <w:rFonts w:hint="eastAsia"/>
        </w:rPr>
        <w:t>加入线上监考</w:t>
      </w:r>
      <w:bookmarkEnd w:id="25"/>
      <w:bookmarkEnd w:id="26"/>
      <w:bookmarkEnd w:id="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赛点监考部分由考场老师统一组织，请在正式比赛前完成线下监考模拟。</w:t>
      </w:r>
    </w:p>
    <w:p>
      <w:pPr>
        <w:numPr>
          <w:ilvl w:val="0"/>
          <w:numId w:val="17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在移动智能设备（可采用智能手机）上安装腾讯会议App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根据赛场教室电脑实际摆放，需在赛场教室的斜对角或正中间前后分别各放置1台移动智能设备（以智能手机为例）进行赛场监控。苹果系统进入APPStore搜索“腾讯会议”安装；安卓系统在应用商城搜索“腾讯会议”安装。（安装完成后，需登陆APP查看确认为最新版本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eastAsia" w:ascii="仿宋_GB2312" w:hAnsi="仿宋_GB2312" w:eastAsia="仿宋_GB2312" w:cs="仿宋_GB2312"/>
          <w:position w:val="-94"/>
        </w:rPr>
      </w:pPr>
      <w:r>
        <w:rPr>
          <w:rFonts w:hint="eastAsia" w:ascii="仿宋_GB2312" w:hAnsi="仿宋_GB2312" w:eastAsia="仿宋_GB2312" w:cs="仿宋_GB2312"/>
          <w:position w:val="-9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2813050</wp:posOffset>
            </wp:positionH>
            <wp:positionV relativeFrom="page">
              <wp:posOffset>950595</wp:posOffset>
            </wp:positionV>
            <wp:extent cx="2044065" cy="2988310"/>
            <wp:effectExtent l="0" t="0" r="13335" b="2540"/>
            <wp:wrapSquare wrapText="bothSides"/>
            <wp:docPr id="20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numPr>
          <w:ilvl w:val="0"/>
          <w:numId w:val="17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赛</w:t>
      </w:r>
      <w:r>
        <w:rPr>
          <w:rFonts w:hint="eastAsia" w:ascii="仿宋" w:hAnsi="仿宋" w:eastAsia="仿宋" w:cs="仿宋"/>
          <w:sz w:val="28"/>
          <w:szCs w:val="28"/>
        </w:rPr>
        <w:t>前30分钟在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监考设备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</w:rPr>
        <w:t>移动终端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上登录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对应组别的监考室（</w:t>
      </w:r>
      <w:r>
        <w:rPr>
          <w:rFonts w:hint="eastAsia" w:ascii="仿宋" w:hAnsi="仿宋" w:eastAsia="仿宋" w:cs="仿宋"/>
          <w:sz w:val="28"/>
          <w:szCs w:val="28"/>
        </w:rPr>
        <w:t>腾讯会议会议室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）。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021840" cy="1119505"/>
            <wp:effectExtent l="0" t="0" r="16510" b="444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numPr>
          <w:ilvl w:val="0"/>
          <w:numId w:val="17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“您的名称”处请填“学校名称-对应监考教室编号”，“入会开启扬声器”，“入会开启摄像头”两个选项请勾选，并注意请不要选择虚拟背景及美颜，点击“加入会议”后，进入线上监考会议。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1831975" cy="2016125"/>
            <wp:effectExtent l="0" t="0" r="15875" b="317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</w:rPr>
      </w:pPr>
    </w:p>
    <w:p>
      <w:pPr>
        <w:pStyle w:val="3"/>
        <w:numPr>
          <w:ilvl w:val="0"/>
          <w:numId w:val="16"/>
        </w:numPr>
        <w:bidi w:val="0"/>
        <w:rPr>
          <w:rFonts w:hint="eastAsia" w:ascii="Arial" w:hAnsi="Arial"/>
        </w:rPr>
      </w:pPr>
      <w:r>
        <w:rPr>
          <w:rFonts w:hint="eastAsia" w:ascii="Arial" w:hAnsi="Arial"/>
        </w:rPr>
        <w:t>登录参赛平台</w:t>
      </w:r>
    </w:p>
    <w:p>
      <w:pPr>
        <w:numPr>
          <w:ilvl w:val="0"/>
          <w:numId w:val="18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参赛平台登录及参赛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待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赛点各手机监考机位</w:t>
      </w:r>
      <w:r>
        <w:rPr>
          <w:rFonts w:hint="eastAsia" w:ascii="仿宋" w:hAnsi="仿宋" w:eastAsia="仿宋" w:cs="仿宋"/>
          <w:sz w:val="28"/>
          <w:szCs w:val="28"/>
        </w:rPr>
        <w:t>进入监考会议后，参赛选手在浏览器输入网址bmd.yoya.com，进入页面后，点击“立即参赛”，按提示选择对应赛区后，点击“参赛”按钮，输入赛队编号、姓名、报名手机号点击即可进入比赛页面，比赛开始时即可进入制作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position w:val="-53"/>
        </w:rPr>
      </w:pPr>
      <w:r>
        <w:rPr>
          <w:rFonts w:hint="eastAsia" w:ascii="仿宋_GB2312" w:hAnsi="仿宋_GB2312" w:eastAsia="仿宋_GB2312" w:cs="仿宋_GB2312"/>
          <w:position w:val="-53"/>
        </w:rPr>
        <w:drawing>
          <wp:inline distT="0" distB="0" distL="114300" distR="114300">
            <wp:extent cx="4269740" cy="1692910"/>
            <wp:effectExtent l="0" t="0" r="16510" b="2540"/>
            <wp:docPr id="24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6974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position w:val="-92"/>
        </w:rPr>
      </w:pPr>
      <w:r>
        <w:rPr>
          <w:rFonts w:hint="eastAsia" w:ascii="仿宋_GB2312" w:hAnsi="仿宋_GB2312" w:eastAsia="仿宋_GB2312" w:cs="仿宋_GB2312"/>
          <w:position w:val="-92"/>
        </w:rPr>
        <w:drawing>
          <wp:inline distT="0" distB="0" distL="114300" distR="114300">
            <wp:extent cx="3609975" cy="2925445"/>
            <wp:effectExtent l="0" t="0" r="9525" b="8255"/>
            <wp:docPr id="25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position w:val="-92"/>
        </w:rPr>
      </w:pPr>
      <w:r>
        <w:rPr>
          <w:rFonts w:hint="eastAsia" w:ascii="楷体" w:hAnsi="楷体" w:eastAsia="楷体" w:cs="楷体"/>
          <w:sz w:val="19"/>
          <w:szCs w:val="19"/>
          <w:lang w:val="en-US" w:eastAsia="zh-CN"/>
        </w:rPr>
        <w:drawing>
          <wp:inline distT="0" distB="0" distL="114300" distR="114300">
            <wp:extent cx="2711450" cy="2212975"/>
            <wp:effectExtent l="0" t="0" r="12700" b="15875"/>
            <wp:docPr id="26" name="图片 26" descr="企业微信截图_1715157517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企业微信截图_17151575172058"/>
                    <pic:cNvPicPr>
                      <a:picLocks noChangeAspect="1"/>
                    </pic:cNvPicPr>
                  </pic:nvPicPr>
                  <pic:blipFill>
                    <a:blip r:embed="rId6"/>
                    <a:srcRect t="1117" r="1681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注意：</w:t>
      </w:r>
    </w:p>
    <w:p>
      <w:pPr>
        <w:numPr>
          <w:ilvl w:val="0"/>
          <w:numId w:val="19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青科赛报名网站（qgqks.cngef.org.cn）为下一代教育基金会官方网站，科技创意动画挑战赛比赛网站（bmd.yoya.com）为本赛项参赛网站，这是2个不同的网站，账号不通用。</w:t>
      </w:r>
    </w:p>
    <w:p>
      <w:pPr>
        <w:numPr>
          <w:ilvl w:val="0"/>
          <w:numId w:val="19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入比赛平台，将显示报名信息，选手可对照全国赛事组委会报名信息，核对信息是否一致，点击参赛作品按钮，进入参赛作品页面。根据各省区域赛要求时间公布比赛题目，并且在比赛时间开始后才能添加作品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position w:val="-92"/>
        </w:rPr>
      </w:pPr>
      <w:r>
        <w:rPr>
          <w:rFonts w:hint="eastAsia" w:ascii="仿宋_GB2312" w:hAnsi="仿宋_GB2312" w:eastAsia="仿宋_GB2312" w:cs="仿宋_GB2312"/>
          <w:position w:val="-92"/>
        </w:rPr>
        <w:drawing>
          <wp:inline distT="0" distB="0" distL="114300" distR="114300">
            <wp:extent cx="5405120" cy="2928620"/>
            <wp:effectExtent l="0" t="0" r="5080" b="5080"/>
            <wp:docPr id="27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position w:val="-73"/>
        </w:rPr>
      </w:pPr>
      <w:r>
        <w:rPr>
          <w:rFonts w:hint="eastAsia" w:ascii="仿宋_GB2312" w:hAnsi="仿宋_GB2312" w:eastAsia="仿宋_GB2312" w:cs="仿宋_GB2312"/>
          <w:position w:val="-73"/>
        </w:rPr>
        <w:drawing>
          <wp:inline distT="0" distB="0" distL="114300" distR="114300">
            <wp:extent cx="5445125" cy="2339340"/>
            <wp:effectExtent l="0" t="0" r="3175" b="3810"/>
            <wp:docPr id="28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6"/>
        </w:numPr>
        <w:bidi w:val="0"/>
        <w:rPr>
          <w:rFonts w:hint="eastAsia" w:ascii="Arial" w:hAnsi="Arial"/>
          <w:lang w:val="en-US" w:eastAsia="zh-CN"/>
        </w:rPr>
      </w:pPr>
      <w:r>
        <w:rPr>
          <w:rFonts w:hint="eastAsia" w:ascii="Arial" w:hAnsi="Arial"/>
          <w:lang w:val="en-US" w:eastAsia="zh-CN"/>
        </w:rPr>
        <w:t>开赛流程</w:t>
      </w:r>
    </w:p>
    <w:p>
      <w:pPr>
        <w:numPr>
          <w:ilvl w:val="0"/>
          <w:numId w:val="20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根据区域赛要求比赛时间，创作端口即开放。点击添加作品按钮，新建优芽动画，填写好作品名称后点击开始制作，进入动画编辑页面。</w:t>
      </w:r>
    </w:p>
    <w:p>
      <w:pPr>
        <w:jc w:val="center"/>
        <w:rPr>
          <w:rFonts w:hint="eastAsia" w:ascii="仿宋_GB2312" w:hAnsi="仿宋_GB2312" w:eastAsia="仿宋_GB2312" w:cs="仿宋_GB2312"/>
          <w:position w:val="-227"/>
        </w:rPr>
      </w:pPr>
      <w:r>
        <w:rPr>
          <w:rFonts w:hint="eastAsia" w:ascii="仿宋_GB2312" w:hAnsi="仿宋_GB2312" w:eastAsia="仿宋_GB2312" w:cs="仿宋_GB2312"/>
          <w:position w:val="-227"/>
        </w:rPr>
        <w:drawing>
          <wp:inline distT="0" distB="0" distL="114300" distR="114300">
            <wp:extent cx="3805555" cy="5873750"/>
            <wp:effectExtent l="0" t="0" r="4445" b="1270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5555" cy="58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0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作品完成后，点击右上角“递交”按钮。回到参赛作品页面，在比赛时间截止前，点击提交按钮，提交后即可完成比赛。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position w:val="-87"/>
        </w:rPr>
      </w:pPr>
      <w:r>
        <w:rPr>
          <w:rFonts w:hint="eastAsia" w:ascii="仿宋_GB2312" w:hAnsi="仿宋_GB2312" w:eastAsia="仿宋_GB2312" w:cs="仿宋_GB2312"/>
          <w:position w:val="-87"/>
        </w:rPr>
        <w:drawing>
          <wp:inline distT="0" distB="0" distL="114300" distR="114300">
            <wp:extent cx="5903595" cy="2771775"/>
            <wp:effectExtent l="0" t="0" r="1905" b="9525"/>
            <wp:docPr id="30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0"/>
        </w:numPr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如未及时提交，竞赛截止时间到后系统将会强制提交，提交后无法再编辑修改。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position w:val="-75"/>
        </w:rPr>
        <w:drawing>
          <wp:inline distT="0" distB="0" distL="114300" distR="114300">
            <wp:extent cx="5407025" cy="2381885"/>
            <wp:effectExtent l="0" t="0" r="3175" b="18415"/>
            <wp:docPr id="31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61"/>
        </w:tabs>
        <w:bidi w:val="0"/>
        <w:jc w:val="left"/>
        <w:rPr>
          <w:rFonts w:hint="default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思源黑体 CN Regular">
    <w:altName w:val="微软雅黑"/>
    <w:panose1 w:val="00000000000000000000"/>
    <w:charset w:val="00"/>
    <w:family w:val="swiss"/>
    <w:pitch w:val="default"/>
    <w:sig w:usb0="00000000" w:usb1="00000000" w:usb2="00000016" w:usb3="00000000" w:csb0="00060107" w:csb1="00000000"/>
  </w:font>
  <w:font w:name="思源黑体 CN Heavy">
    <w:altName w:val="微软雅黑"/>
    <w:panose1 w:val="00000000000000000000"/>
    <w:charset w:val="00"/>
    <w:family w:val="swiss"/>
    <w:pitch w:val="default"/>
    <w:sig w:usb0="00000000" w:usb1="00000000" w:usb2="00000016" w:usb3="00000000" w:csb0="000601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4" w:space="1"/>
      </w:pBdr>
      <w:jc w:val="center"/>
    </w:pPr>
    <w:r>
      <w:rPr>
        <w:bCs/>
      </w:rPr>
      <w:drawing>
        <wp:inline distT="0" distB="0" distL="0" distR="0">
          <wp:extent cx="1748155" cy="360680"/>
          <wp:effectExtent l="0" t="0" r="4445" b="127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8155" cy="360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667546"/>
    <w:multiLevelType w:val="singleLevel"/>
    <w:tmpl w:val="8466754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A072F8B4"/>
    <w:multiLevelType w:val="singleLevel"/>
    <w:tmpl w:val="A072F8B4"/>
    <w:lvl w:ilvl="0" w:tentative="0">
      <w:start w:val="2"/>
      <w:numFmt w:val="chineseCounting"/>
      <w:suff w:val="space"/>
      <w:lvlText w:val="第%1部分"/>
      <w:lvlJc w:val="left"/>
      <w:rPr>
        <w:rFonts w:hint="eastAsia"/>
      </w:rPr>
    </w:lvl>
  </w:abstractNum>
  <w:abstractNum w:abstractNumId="2">
    <w:nsid w:val="AA378E5C"/>
    <w:multiLevelType w:val="singleLevel"/>
    <w:tmpl w:val="AA378E5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ADC9F02D"/>
    <w:multiLevelType w:val="singleLevel"/>
    <w:tmpl w:val="ADC9F02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D08A124E"/>
    <w:multiLevelType w:val="singleLevel"/>
    <w:tmpl w:val="D08A124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D6AF49D4"/>
    <w:multiLevelType w:val="singleLevel"/>
    <w:tmpl w:val="D6AF49D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D710A5EF"/>
    <w:multiLevelType w:val="singleLevel"/>
    <w:tmpl w:val="D710A5EF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</w:abstractNum>
  <w:abstractNum w:abstractNumId="7">
    <w:nsid w:val="EF42E8CC"/>
    <w:multiLevelType w:val="singleLevel"/>
    <w:tmpl w:val="EF42E8CC"/>
    <w:lvl w:ilvl="0" w:tentative="0">
      <w:start w:val="1"/>
      <w:numFmt w:val="chineseCounting"/>
      <w:pStyle w:val="4"/>
      <w:suff w:val="nothing"/>
      <w:lvlText w:val="（%1）"/>
      <w:lvlJc w:val="left"/>
      <w:pPr>
        <w:ind w:left="0" w:firstLine="0"/>
      </w:pPr>
      <w:rPr>
        <w:rFonts w:hint="eastAsia"/>
      </w:rPr>
    </w:lvl>
  </w:abstractNum>
  <w:abstractNum w:abstractNumId="8">
    <w:nsid w:val="F7780AB0"/>
    <w:multiLevelType w:val="singleLevel"/>
    <w:tmpl w:val="F7780AB0"/>
    <w:lvl w:ilvl="0" w:tentative="0">
      <w:start w:val="1"/>
      <w:numFmt w:val="chineseCounting"/>
      <w:suff w:val="nothing"/>
      <w:lvlText w:val="（%1）"/>
      <w:lvlJc w:val="left"/>
      <w:pPr>
        <w:ind w:left="0" w:firstLine="0"/>
      </w:pPr>
      <w:rPr>
        <w:rFonts w:hint="eastAsia"/>
      </w:rPr>
    </w:lvl>
  </w:abstractNum>
  <w:abstractNum w:abstractNumId="9">
    <w:nsid w:val="FA6DF49F"/>
    <w:multiLevelType w:val="singleLevel"/>
    <w:tmpl w:val="FA6DF49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0AE31F9F"/>
    <w:multiLevelType w:val="singleLevel"/>
    <w:tmpl w:val="0AE31F9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1">
    <w:nsid w:val="210A3C30"/>
    <w:multiLevelType w:val="singleLevel"/>
    <w:tmpl w:val="210A3C3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2">
    <w:nsid w:val="24A1B1CE"/>
    <w:multiLevelType w:val="singleLevel"/>
    <w:tmpl w:val="24A1B1C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3">
    <w:nsid w:val="2AD18062"/>
    <w:multiLevelType w:val="singleLevel"/>
    <w:tmpl w:val="2AD1806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4">
    <w:nsid w:val="45349152"/>
    <w:multiLevelType w:val="singleLevel"/>
    <w:tmpl w:val="4534915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5">
    <w:nsid w:val="4E59D13C"/>
    <w:multiLevelType w:val="singleLevel"/>
    <w:tmpl w:val="4E59D13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6">
    <w:nsid w:val="563C5CCF"/>
    <w:multiLevelType w:val="singleLevel"/>
    <w:tmpl w:val="563C5CC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7">
    <w:nsid w:val="614D2F0B"/>
    <w:multiLevelType w:val="singleLevel"/>
    <w:tmpl w:val="614D2F0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7"/>
  </w:num>
  <w:num w:numId="2">
    <w:abstractNumId w:val="16"/>
  </w:num>
  <w:num w:numId="3">
    <w:abstractNumId w:val="5"/>
  </w:num>
  <w:num w:numId="4">
    <w:abstractNumId w:val="15"/>
  </w:num>
  <w:num w:numId="5">
    <w:abstractNumId w:val="11"/>
  </w:num>
  <w:num w:numId="6">
    <w:abstractNumId w:val="7"/>
    <w:lvlOverride w:ilvl="0">
      <w:startOverride w:val="1"/>
    </w:lvlOverride>
  </w:num>
  <w:num w:numId="7">
    <w:abstractNumId w:val="12"/>
  </w:num>
  <w:num w:numId="8">
    <w:abstractNumId w:val="9"/>
  </w:num>
  <w:num w:numId="9">
    <w:abstractNumId w:val="3"/>
  </w:num>
  <w:num w:numId="10">
    <w:abstractNumId w:val="1"/>
  </w:num>
  <w:num w:numId="11">
    <w:abstractNumId w:val="6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13"/>
  </w:num>
  <w:num w:numId="14">
    <w:abstractNumId w:val="2"/>
  </w:num>
  <w:num w:numId="15">
    <w:abstractNumId w:val="0"/>
  </w:num>
  <w:num w:numId="16">
    <w:abstractNumId w:val="8"/>
    <w:lvlOverride w:ilvl="0">
      <w:startOverride w:val="1"/>
    </w:lvlOverride>
  </w:num>
  <w:num w:numId="17">
    <w:abstractNumId w:val="17"/>
  </w:num>
  <w:num w:numId="18">
    <w:abstractNumId w:val="10"/>
  </w:num>
  <w:num w:numId="19">
    <w:abstractNumId w:val="14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NjZjJmNjU4Yzg3OWZkZWJhOWIxNGU2YWYwM2UwM2QifQ=="/>
  </w:docVars>
  <w:rsids>
    <w:rsidRoot w:val="5AD00FA6"/>
    <w:rsid w:val="09437F8D"/>
    <w:rsid w:val="0E56244E"/>
    <w:rsid w:val="1E553655"/>
    <w:rsid w:val="2FD16A76"/>
    <w:rsid w:val="329A0280"/>
    <w:rsid w:val="45E07173"/>
    <w:rsid w:val="48265874"/>
    <w:rsid w:val="5AD00FA6"/>
    <w:rsid w:val="65D87EA7"/>
    <w:rsid w:val="6F7B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240" w:lineRule="auto"/>
      <w:jc w:val="left"/>
      <w:outlineLvl w:val="0"/>
    </w:pPr>
    <w:rPr>
      <w:rFonts w:eastAsia="仿宋" w:asciiTheme="minorAscii" w:hAnsiTheme="minorAscii"/>
      <w:b/>
      <w:kern w:val="44"/>
      <w:sz w:val="31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仿宋"/>
      <w:sz w:val="30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0"/>
        <w:numId w:val="1"/>
      </w:numPr>
      <w:spacing w:before="260" w:beforeLines="0" w:beforeAutospacing="0" w:after="260" w:afterLines="0" w:afterAutospacing="0" w:line="240" w:lineRule="auto"/>
      <w:ind w:firstLine="0" w:firstLineChars="0"/>
      <w:outlineLvl w:val="2"/>
    </w:pPr>
    <w:rPr>
      <w:rFonts w:ascii="Arial" w:hAnsi="Arial"/>
      <w:b/>
      <w:sz w:val="30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semiHidden/>
    <w:qFormat/>
    <w:uiPriority w:val="0"/>
    <w:rPr>
      <w:rFonts w:ascii="仿宋" w:hAnsi="仿宋" w:eastAsia="仿宋" w:cs="仿宋"/>
      <w:sz w:val="28"/>
      <w:szCs w:val="28"/>
      <w:lang w:val="en-US" w:eastAsia="en-US" w:bidi="ar-SA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10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customStyle="1" w:styleId="12">
    <w:name w:val="目录"/>
    <w:basedOn w:val="1"/>
    <w:qFormat/>
    <w:uiPriority w:val="0"/>
    <w:pPr>
      <w:widowControl/>
      <w:spacing w:line="240" w:lineRule="auto"/>
      <w:jc w:val="center"/>
    </w:pPr>
    <w:rPr>
      <w:rFonts w:ascii="思源黑体 CN Heavy" w:hAnsi="思源黑体 CN Heavy" w:eastAsia="思源黑体 CN Heavy" w:cs="微软雅黑"/>
      <w:b/>
      <w:color w:val="E6233C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2024-05-09T02:55:00Z</dcterms:created>
  <dc:creator>Fly</dc:creator>
  <cp:lastModifiedBy>眯眯眼</cp:lastModifiedBy>
  <dcterms:modified xsi:type="dcterms:W3CDTF">2024-05-21T07:41:10Z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085A627C73044BDCACDC9487ECBD07B8_13</vt:lpwstr>
  </property>
</Properties>
</file>